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人工智能与应急管理政策演进时间轴</w:t>
      </w:r>
    </w:p>
    <w:p>
      <w:pPr>
        <w:pStyle w:val="Subtitle"/>
      </w:pPr>
      <w:r>
        <w:t xml:space="preserve">Policy Evolution Timeline of AI and Emergency Management</w:t>
      </w:r>
    </w:p>
    <w:p>
      <w:pPr>
        <w:pStyle w:val="Year"/>
      </w:pPr>
      <w:r>
        <w:t xml:space="preserve">2017年7月</w:t>
      </w:r>
    </w:p>
    <w:p>
      <w:pPr>
        <w:pStyle w:val="PolicyTitle"/>
      </w:pPr>
      <w:r>
        <w:t xml:space="preserve">《新一代人工智能发展规划》</w:t>
      </w:r>
    </w:p>
    <w:p>
      <w:pPr>
        <w:pStyle w:val="PolicyDesc"/>
      </w:pPr>
      <w:r>
        <w:t xml:space="preserve">国务院印发通知，提出"分三步走"战略目标：到2030年人工智能理论、技术与应用总体达到世界领先水平，成为世界主要人工智能创新中心，智能经济、智能社会取得明显成效，为跻身创新型国家前列和经济强国奠定重要基础。</w:t>
      </w:r>
    </w:p>
    <w:p>
      <w:pPr>
        <w:pStyle w:val="Year"/>
      </w:pPr>
      <w:r>
        <w:t xml:space="preserve">2019年11月</w:t>
      </w:r>
    </w:p>
    <w:p>
      <w:pPr>
        <w:pStyle w:val="PolicyTitle"/>
      </w:pPr>
      <w:r>
        <w:t xml:space="preserve">推进应急管理体系和能力现代化</w:t>
      </w:r>
    </w:p>
    <w:p>
      <w:pPr>
        <w:pStyle w:val="PolicyDesc"/>
      </w:pPr>
      <w:r>
        <w:t xml:space="preserve">习近平总书记在中共中央政治局第十九次集体学习时强调，充分发挥我国应急管理体系特色和优势，积极推进我国应急管理体系和能力现代化。明确提出强化应急管理装备技术支撑，依靠科技提高应急管理的科学化、专业化、智能化、精细化水平；以信息化推进应急管理现代化，提高监测预警、监管执法、辅助决策、救援实战和社会动员能力。</w:t>
      </w:r>
    </w:p>
    <w:p>
      <w:pPr>
        <w:pStyle w:val="Year"/>
      </w:pPr>
      <w:r>
        <w:t xml:space="preserve">2021年12月</w:t>
      </w:r>
    </w:p>
    <w:p>
      <w:pPr>
        <w:pStyle w:val="PolicyTitle"/>
      </w:pPr>
      <w:r>
        <w:t xml:space="preserve">《"十四五"国家应急体系规划》</w:t>
      </w:r>
    </w:p>
    <w:p>
      <w:pPr>
        <w:pStyle w:val="PolicyDesc"/>
      </w:pPr>
      <w:r>
        <w:t xml:space="preserve">国务院印发通知，指出到2035年全面实现依法应急、科学应急、智慧应急，形成共建共治共享的应急管理新格局。要求优化要素资源配置，增进创新驱动的发展动能，突出基础理论、应急准备、监测预警、处置救援、评估恢复等重大关键技术方向。</w:t>
      </w:r>
    </w:p>
    <w:p>
      <w:pPr>
        <w:pStyle w:val="Year"/>
      </w:pPr>
      <w:r>
        <w:t xml:space="preserve">2024年1月</w:t>
      </w:r>
    </w:p>
    <w:p>
      <w:pPr>
        <w:pStyle w:val="PolicyTitle"/>
      </w:pPr>
      <w:r>
        <w:t xml:space="preserve">《"数据要素×"三年行动计划》</w:t>
      </w:r>
    </w:p>
    <w:p>
      <w:pPr>
        <w:pStyle w:val="PolicyDesc"/>
      </w:pPr>
      <w:r>
        <w:t xml:space="preserve">国家数据局等部门印发通知，要求在数据要素×应急管理领域，提升安全生产监管能力、自然灾害监测评估能力、应急协调共享能力；在数据要素×城市治理领域，推动城市多维度数据融通，支撑公共卫生、交通管理、公共安全、生态环境、基层治理等各领域场景应用。</w:t>
      </w:r>
    </w:p>
    <w:p>
      <w:pPr>
        <w:pStyle w:val="Year"/>
      </w:pPr>
      <w:r>
        <w:t xml:space="preserve">2024年11月</w:t>
      </w:r>
    </w:p>
    <w:p>
      <w:pPr>
        <w:pStyle w:val="PolicyTitle"/>
      </w:pPr>
      <w:r>
        <w:t xml:space="preserve">《关于推进新型城市基础设施建设打造韧性城市的意见》</w:t>
      </w:r>
    </w:p>
    <w:p>
      <w:pPr>
        <w:pStyle w:val="PolicyDesc"/>
      </w:pPr>
      <w:r>
        <w:t xml:space="preserve">中共中央办公厅、国务院办公厅出台意见，提出到2030年新型城市基础设施建设取得显著成效，推动建成一批高水平韧性城市，城市安全韧性持续提升，城市运行更安全、更有序、更智慧、更高效。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pBdr>
        <w:bottom w:val="single" w:color="764ba2" w:sz="24" w:space="1"/>
      </w:pBdr>
      <w:spacing w:before="240" w:after="360"/>
      <w:jc w:val="center"/>
    </w:pPr>
    <w:rPr>
      <w:rFonts w:ascii="Microsoft YaHei" w:cs="Microsoft YaHei" w:eastAsia="Microsoft YaHei" w:hAnsi="Microsoft YaHei"/>
      <w:b/>
      <w:bCs/>
      <w:color w:val="667eea"/>
      <w:sz w:val="36"/>
      <w:szCs w:val="36"/>
    </w:rPr>
  </w:style>
  <w:style w:type="paragraph" w:styleId="Subtitle">
    <w:name w:val="Subtitle"/>
    <w:basedOn w:val="Normal"/>
    <w:pPr>
      <w:spacing w:after="480"/>
      <w:jc w:val="center"/>
    </w:pPr>
    <w:rPr>
      <w:rFonts w:ascii="Arial" w:cs="Arial" w:eastAsia="Arial" w:hAnsi="Arial"/>
      <w:color w:val="999999"/>
      <w:sz w:val="20"/>
      <w:szCs w:val="20"/>
    </w:rPr>
  </w:style>
  <w:style w:type="paragraph" w:styleId="Year">
    <w:name w:val="Year"/>
    <w:basedOn w:val="Normal"/>
    <w:pPr>
      <w:spacing w:before="240" w:after="120"/>
    </w:pPr>
    <w:rPr>
      <w:rFonts w:ascii="Microsoft YaHei" w:cs="Microsoft YaHei" w:eastAsia="Microsoft YaHei" w:hAnsi="Microsoft YaHei"/>
      <w:b/>
      <w:bCs/>
      <w:color w:val="667eea"/>
      <w:sz w:val="28"/>
      <w:szCs w:val="28"/>
    </w:rPr>
  </w:style>
  <w:style w:type="paragraph" w:styleId="PolicyTitle">
    <w:name w:val="Policy Title"/>
    <w:basedOn w:val="Normal"/>
    <w:pPr>
      <w:spacing w:before="80" w:after="120"/>
    </w:pPr>
    <w:rPr>
      <w:rFonts w:ascii="Microsoft YaHei" w:cs="Microsoft YaHei" w:eastAsia="Microsoft YaHei" w:hAnsi="Microsoft YaHei"/>
      <w:b/>
      <w:bCs/>
      <w:color w:val="1a1a1a"/>
      <w:sz w:val="24"/>
      <w:szCs w:val="24"/>
    </w:rPr>
  </w:style>
  <w:style w:type="paragraph" w:styleId="PolicyDesc">
    <w:name w:val="Policy Desc"/>
    <w:basedOn w:val="Normal"/>
    <w:pPr>
      <w:spacing w:after="360"/>
      <w:jc w:val="both"/>
    </w:pPr>
    <w:rPr>
      <w:rFonts w:ascii="Microsoft YaHei" w:cs="Microsoft YaHei" w:eastAsia="Microsoft YaHei" w:hAnsi="Microsoft YaHei"/>
      <w:color w:val="555555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2026-01-10T03:35:30.453Z</dcterms:created>
  <dcterms:modified xsi:type="dcterms:W3CDTF">2026-01-10T03:35:30.454Z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